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267059" w:rsidR="00093CA9" w:rsidRDefault="004912FE"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967E028" w:rsidR="00093CA9" w:rsidRDefault="00DF7F61" w:rsidP="00093CA9">
            <w:r w:rsidRPr="00DF7F61">
              <w:t>UAE Securities and Commodities Decision No 21 / Chairman of 2023 concerning the regulation of green and sustainability related bonds and sukuk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62D724A" w:rsidR="00093CA9" w:rsidRDefault="0092506F" w:rsidP="00093CA9">
            <w:hyperlink r:id="rId17" w:anchor="page=1" w:history="1">
              <w:r w:rsidRPr="00F91DDE">
                <w:rPr>
                  <w:rStyle w:val="Hyperlink"/>
                </w:rPr>
                <w:t>https://www.sca.gov.ae/en/regulations/regulations-listing.aspx#page=1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82C5DD3" w:rsidR="00093CA9" w:rsidRDefault="00A41A4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6B29D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8DF746B" w:rsidR="00093CA9" w:rsidRDefault="00E267D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9183C6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0B19952" w14:textId="77777777" w:rsidR="00093CA9" w:rsidRDefault="008655D1" w:rsidP="00093CA9">
            <w:r>
              <w:t>The regulation aims to support the UAE's environmental and climate-related objectives and promote the development of green finance and sustainable investment markets.</w:t>
            </w:r>
          </w:p>
          <w:p w14:paraId="71902C29" w14:textId="77777777" w:rsidR="008655D1" w:rsidRDefault="008655D1" w:rsidP="008655D1">
            <w:r>
              <w:t>It strives to ensure transparency, accountability, and credibility in climate-related financial disclosures, and align public and private financing with global sustainability standards, particularly in public procurement and infrastructure.</w:t>
            </w:r>
          </w:p>
          <w:p w14:paraId="18257824" w14:textId="0FD559A0" w:rsidR="00093A42" w:rsidRDefault="00093A42" w:rsidP="008655D1">
            <w:r>
              <w:t xml:space="preserve">The regulation promotes sustainable finance by ensuring that the funds raised through green or sustainability-linked financial instruments are used for </w:t>
            </w:r>
            <w:r w:rsidRPr="00093A42">
              <w:t>environmentally friendly projects (such as renewable energy, pollution reduction, or climate adaptation) or linked to the issuer’s achievement of measurable sustainability targets.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6DC0D65" w:rsidR="00093CA9" w:rsidRDefault="00093A4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760B7C3" w:rsidR="00093CA9" w:rsidRPr="00173D7C" w:rsidRDefault="00093A42" w:rsidP="00093CA9">
            <w:pPr>
              <w:rPr>
                <w:color w:val="000000" w:themeColor="text1"/>
              </w:rPr>
            </w:pPr>
            <w:r>
              <w:rPr>
                <w:color w:val="000000" w:themeColor="text1"/>
              </w:rPr>
              <w:t>4 April 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D5EF1E4" w:rsidR="00093CA9" w:rsidRDefault="00F131DA" w:rsidP="00093CA9">
            <w:r w:rsidRPr="00F131DA">
              <w:t>Securities and Commodities Authority (SCA)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D3456B4" w:rsidR="00093CA9" w:rsidRPr="006B7B0D" w:rsidRDefault="00F131DA" w:rsidP="00093CA9">
            <w:r w:rsidRPr="00F131DA">
              <w:t>Securities and Commodities Authority (SCA)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BEF0C23" w:rsidR="00093CA9" w:rsidRPr="006B7B0D" w:rsidRDefault="00F131D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B9282A1" w:rsidR="00093CA9" w:rsidRDefault="00F131D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83F6008" w14:textId="77777777" w:rsidR="00093CA9" w:rsidRDefault="00F131DA" w:rsidP="00F131DA">
            <w:pPr>
              <w:keepNext/>
              <w:rPr>
                <w:color w:val="000000" w:themeColor="text1"/>
              </w:rPr>
            </w:pPr>
            <w:r>
              <w:rPr>
                <w:color w:val="000000" w:themeColor="text1"/>
              </w:rPr>
              <w:t>Semi-annual reports must be submitted to the SCA by issuers</w:t>
            </w:r>
            <w:r w:rsidR="007A2C4D">
              <w:rPr>
                <w:color w:val="000000" w:themeColor="text1"/>
              </w:rPr>
              <w:t xml:space="preserve"> (Article 4).</w:t>
            </w:r>
          </w:p>
          <w:p w14:paraId="2C2128DB" w14:textId="127FAB17" w:rsidR="007A2C4D" w:rsidRPr="008017F9" w:rsidRDefault="007A2C4D" w:rsidP="007A2C4D">
            <w:pPr>
              <w:keepNext/>
              <w:rPr>
                <w:color w:val="000000" w:themeColor="text1"/>
              </w:rPr>
            </w:pPr>
            <w:r>
              <w:rPr>
                <w:color w:val="000000" w:themeColor="text1"/>
              </w:rPr>
              <w:t>Issuers must also o</w:t>
            </w:r>
            <w:r w:rsidRPr="007A2C4D">
              <w:rPr>
                <w:color w:val="000000" w:themeColor="text1"/>
              </w:rPr>
              <w:t>btain external verification from an independent, neutral third party with expertise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0120091" w:rsidR="00CF5268" w:rsidRDefault="00D85D6A"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2CCDD931" w:rsidR="00CF5268" w:rsidRDefault="00D85D6A"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0ED56D46" w:rsidR="00CF5268" w:rsidRDefault="00D85D6A"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3230A277" w:rsidR="00CF5268" w:rsidRDefault="00D85D6A"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1248C8C" w:rsidR="00CF5268" w:rsidRDefault="00D85D6A"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B9AD806" w:rsidR="00CF5268" w:rsidRDefault="00D85D6A"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3B9CDB76" w:rsidR="466E435B" w:rsidRDefault="00D85D6A" w:rsidP="00DD3144">
            <w:r>
              <w:t>X</w:t>
            </w:r>
          </w:p>
        </w:tc>
        <w:tc>
          <w:tcPr>
            <w:tcW w:w="1447" w:type="dxa"/>
            <w:vAlign w:val="center"/>
          </w:tcPr>
          <w:p w14:paraId="78F26697" w14:textId="39C0FC53"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09C40C9D" w:rsidR="466E435B" w:rsidRDefault="00D85D6A" w:rsidP="00DD3144">
            <w:r>
              <w:t>X</w:t>
            </w:r>
          </w:p>
        </w:tc>
        <w:tc>
          <w:tcPr>
            <w:tcW w:w="1447" w:type="dxa"/>
            <w:vAlign w:val="center"/>
          </w:tcPr>
          <w:p w14:paraId="7A06765B" w14:textId="4E5E1121"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69106DC1" w:rsidR="466E435B" w:rsidRDefault="00D85D6A" w:rsidP="00DD3144">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94361EC" w:rsidR="466E435B" w:rsidRDefault="00D85D6A" w:rsidP="00DD3144">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0124DE6" w:rsidR="00CF5268" w:rsidRDefault="00D85D6A"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28BC4B4C" w:rsidR="00CF5268" w:rsidRDefault="00D85D6A" w:rsidP="00DD3144">
            <w:r>
              <w:t>X</w:t>
            </w:r>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6BE7D694" w:rsidR="00C35794" w:rsidRDefault="00D85D6A" w:rsidP="00DD3144">
            <w:r>
              <w:t xml:space="preserve">The Regulation </w:t>
            </w:r>
            <w:r w:rsidRPr="00D85D6A">
              <w:t xml:space="preserve">is mandatory for any entity that chooses to issue green or sustainability-linked bonds or sukuk under the jurisdiction of the UAE </w:t>
            </w:r>
            <w:r>
              <w:t>SCA.</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5A456CDA" w:rsidR="004B2D74" w:rsidRDefault="00D85D6A"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346DDEEF" w:rsidR="004B2D74" w:rsidRDefault="00D85D6A"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60E3456" w:rsidR="004B2D74" w:rsidRDefault="00D85D6A"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27085540" w:rsidR="004B2D74" w:rsidRDefault="000E7C97"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05BB4DBF" w:rsidR="004B2D74" w:rsidRDefault="000E7C97"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33CEACEA" w:rsidR="00524D54" w:rsidRPr="003577A4" w:rsidRDefault="00E9469D" w:rsidP="00DD3144">
            <w:r>
              <w:t>Not specified</w:t>
            </w:r>
          </w:p>
        </w:tc>
      </w:tr>
      <w:tr w:rsidR="00E9469D" w14:paraId="41283FFD" w14:textId="77777777" w:rsidTr="007445A6">
        <w:trPr>
          <w:trHeight w:val="533"/>
        </w:trPr>
        <w:tc>
          <w:tcPr>
            <w:tcW w:w="1066" w:type="dxa"/>
            <w:vAlign w:val="center"/>
          </w:tcPr>
          <w:p w14:paraId="005928DA" w14:textId="725C4396" w:rsidR="00E9469D" w:rsidRDefault="00E9469D" w:rsidP="00E9469D">
            <w:r>
              <w:t>1.6.2</w:t>
            </w:r>
          </w:p>
        </w:tc>
        <w:tc>
          <w:tcPr>
            <w:tcW w:w="4464" w:type="dxa"/>
            <w:shd w:val="clear" w:color="auto" w:fill="E2EFD9" w:themeFill="accent6" w:themeFillTint="33"/>
            <w:vAlign w:val="center"/>
          </w:tcPr>
          <w:p w14:paraId="7780D92E" w14:textId="041F3CD0" w:rsidR="00E9469D" w:rsidRPr="003577A4" w:rsidRDefault="00E9469D" w:rsidP="00E9469D">
            <w:r>
              <w:t>Minimum revenue (Enter minimum revenue)</w:t>
            </w:r>
          </w:p>
        </w:tc>
        <w:tc>
          <w:tcPr>
            <w:tcW w:w="4910" w:type="dxa"/>
            <w:gridSpan w:val="7"/>
            <w:shd w:val="clear" w:color="auto" w:fill="auto"/>
          </w:tcPr>
          <w:p w14:paraId="2518BD70" w14:textId="46B7C39A" w:rsidR="00E9469D" w:rsidRPr="003577A4" w:rsidRDefault="00E9469D" w:rsidP="00E9469D">
            <w:r w:rsidRPr="00D1367C">
              <w:t>Not specified</w:t>
            </w:r>
          </w:p>
        </w:tc>
      </w:tr>
      <w:tr w:rsidR="00E9469D" w:rsidRPr="004912FE" w14:paraId="683BBA16" w14:textId="77777777" w:rsidTr="007445A6">
        <w:trPr>
          <w:trHeight w:val="533"/>
        </w:trPr>
        <w:tc>
          <w:tcPr>
            <w:tcW w:w="1066" w:type="dxa"/>
            <w:vAlign w:val="center"/>
          </w:tcPr>
          <w:p w14:paraId="402B9FA2" w14:textId="1883A772" w:rsidR="00E9469D" w:rsidRDefault="00E9469D" w:rsidP="00E9469D">
            <w:r>
              <w:t>1.6.3</w:t>
            </w:r>
          </w:p>
        </w:tc>
        <w:tc>
          <w:tcPr>
            <w:tcW w:w="4464" w:type="dxa"/>
            <w:shd w:val="clear" w:color="auto" w:fill="E2EFD9" w:themeFill="accent6" w:themeFillTint="33"/>
            <w:vAlign w:val="center"/>
          </w:tcPr>
          <w:p w14:paraId="6497D1B5" w14:textId="22870A1A" w:rsidR="00E9469D" w:rsidRPr="00630D85" w:rsidRDefault="00E9469D" w:rsidP="00E9469D">
            <w:pPr>
              <w:rPr>
                <w:lang w:val="sv-SE"/>
              </w:rPr>
            </w:pPr>
            <w:r w:rsidRPr="00630D85">
              <w:rPr>
                <w:lang w:val="sv-SE"/>
              </w:rPr>
              <w:t>Minimum assets (Enter minimum assets)</w:t>
            </w:r>
          </w:p>
        </w:tc>
        <w:tc>
          <w:tcPr>
            <w:tcW w:w="4910" w:type="dxa"/>
            <w:gridSpan w:val="7"/>
            <w:shd w:val="clear" w:color="auto" w:fill="auto"/>
          </w:tcPr>
          <w:p w14:paraId="2F54EE03" w14:textId="12D7CC94" w:rsidR="00E9469D" w:rsidRPr="00630D85" w:rsidRDefault="00E9469D" w:rsidP="00E9469D">
            <w:pPr>
              <w:rPr>
                <w:lang w:val="sv-SE"/>
              </w:rPr>
            </w:pPr>
            <w:r w:rsidRPr="00D1367C">
              <w:t>Not specified</w:t>
            </w:r>
          </w:p>
        </w:tc>
      </w:tr>
      <w:tr w:rsidR="00E9469D" w14:paraId="5B28EF76" w14:textId="77777777" w:rsidTr="007445A6">
        <w:trPr>
          <w:trHeight w:val="533"/>
        </w:trPr>
        <w:tc>
          <w:tcPr>
            <w:tcW w:w="1066" w:type="dxa"/>
            <w:vAlign w:val="center"/>
          </w:tcPr>
          <w:p w14:paraId="565EC564" w14:textId="01D374F9" w:rsidR="00E9469D" w:rsidRDefault="00E9469D" w:rsidP="00E9469D">
            <w:r>
              <w:lastRenderedPageBreak/>
              <w:t>1.6.4</w:t>
            </w:r>
          </w:p>
        </w:tc>
        <w:tc>
          <w:tcPr>
            <w:tcW w:w="4464" w:type="dxa"/>
            <w:shd w:val="clear" w:color="auto" w:fill="E2EFD9" w:themeFill="accent6" w:themeFillTint="33"/>
            <w:vAlign w:val="center"/>
          </w:tcPr>
          <w:p w14:paraId="0CC780A5" w14:textId="13196FA1" w:rsidR="00E9469D" w:rsidRPr="003577A4" w:rsidRDefault="00E9469D" w:rsidP="00E9469D">
            <w:r>
              <w:t>Minimum contract value (Enter minimum contract value)</w:t>
            </w:r>
          </w:p>
        </w:tc>
        <w:tc>
          <w:tcPr>
            <w:tcW w:w="4910" w:type="dxa"/>
            <w:gridSpan w:val="7"/>
            <w:shd w:val="clear" w:color="auto" w:fill="auto"/>
          </w:tcPr>
          <w:p w14:paraId="5C9F0252" w14:textId="7BD0173D" w:rsidR="00E9469D" w:rsidRPr="003577A4" w:rsidRDefault="00E9469D" w:rsidP="00E9469D">
            <w:r w:rsidRPr="00D1367C">
              <w:t>Not specified</w:t>
            </w:r>
          </w:p>
        </w:tc>
      </w:tr>
      <w:tr w:rsidR="00E9469D" w14:paraId="44053FF6" w14:textId="77777777" w:rsidTr="007445A6">
        <w:trPr>
          <w:trHeight w:val="533"/>
        </w:trPr>
        <w:tc>
          <w:tcPr>
            <w:tcW w:w="1066" w:type="dxa"/>
            <w:vAlign w:val="center"/>
          </w:tcPr>
          <w:p w14:paraId="4C775C61" w14:textId="17494ADD" w:rsidR="00E9469D" w:rsidRDefault="00E9469D" w:rsidP="00E9469D">
            <w:r>
              <w:t>1.6.5</w:t>
            </w:r>
          </w:p>
        </w:tc>
        <w:tc>
          <w:tcPr>
            <w:tcW w:w="4464" w:type="dxa"/>
            <w:shd w:val="clear" w:color="auto" w:fill="E2EFD9" w:themeFill="accent6" w:themeFillTint="33"/>
            <w:vAlign w:val="center"/>
          </w:tcPr>
          <w:p w14:paraId="1A1FDF44" w14:textId="60375013" w:rsidR="00E9469D" w:rsidRPr="003577A4" w:rsidRDefault="00E9469D" w:rsidP="00E9469D">
            <w:r>
              <w:t>Entity is headquartered in the jurisdiction</w:t>
            </w:r>
          </w:p>
        </w:tc>
        <w:tc>
          <w:tcPr>
            <w:tcW w:w="4910" w:type="dxa"/>
            <w:gridSpan w:val="7"/>
            <w:shd w:val="clear" w:color="auto" w:fill="auto"/>
          </w:tcPr>
          <w:p w14:paraId="53C4E801" w14:textId="79187851" w:rsidR="00E9469D" w:rsidRPr="003577A4" w:rsidRDefault="00E9469D" w:rsidP="00E9469D">
            <w:r w:rsidRPr="00D1367C">
              <w:t>Not specified</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20D4D4E" w:rsidR="00576ED8" w:rsidRDefault="00293A2A"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BA8327B"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4F45966A" w:rsidR="00911F20" w:rsidRDefault="00293A2A"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67F2236A" w:rsidR="009C4798" w:rsidRDefault="00293A2A" w:rsidP="00DD3144">
            <w:r>
              <w:t>Article 6(4) states that if the conditions are not met, then the green or sustainability-linked bond or sukuk lose their designation.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FB8BD8B" w:rsidR="00C57511" w:rsidRPr="00FA0CF8" w:rsidRDefault="00E81256"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3BAB809A" w14:textId="77777777" w:rsidR="00654950" w:rsidRDefault="00E81256" w:rsidP="00DD3144">
            <w:pPr>
              <w:spacing w:line="276" w:lineRule="auto"/>
              <w:rPr>
                <w:color w:val="000000" w:themeColor="text1"/>
              </w:rPr>
            </w:pPr>
            <w:r>
              <w:rPr>
                <w:color w:val="000000" w:themeColor="text1"/>
              </w:rPr>
              <w:t xml:space="preserve">Compliance is mandatory once an issuer chooses to classify bonds or sukuk as "green" or "sustainably-linked". </w:t>
            </w:r>
          </w:p>
          <w:p w14:paraId="7A457096" w14:textId="4A52245C" w:rsidR="00E81256" w:rsidRDefault="00E81256" w:rsidP="00DD3144">
            <w:pPr>
              <w:spacing w:line="276" w:lineRule="auto"/>
              <w:rPr>
                <w:color w:val="000000" w:themeColor="text1"/>
              </w:rPr>
            </w:pPr>
            <w:r>
              <w:rPr>
                <w:color w:val="000000" w:themeColor="text1"/>
              </w:rPr>
              <w:t>There is no evidence of implementation.</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C49B96F" w:rsidR="008063B5" w:rsidRDefault="00E8125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39584CD" w:rsidR="00042406" w:rsidRDefault="000E7C97"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0C9FE0A" w:rsidR="00042406" w:rsidRDefault="00FA0AEE"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A1495E5" w:rsidR="00042406" w:rsidRDefault="000E7C97"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1023C324" w:rsidR="00042406" w:rsidRDefault="00FA0AEE"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2C761EA" w:rsidR="00042406" w:rsidRDefault="000E7C97"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603FAD2" w:rsidR="00042406" w:rsidRDefault="000E7C97"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4701F925" w:rsidR="00042406" w:rsidRDefault="00FA0AEE"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40EC9F52" w:rsidR="00B0479E" w:rsidRDefault="0022647E"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36F9C591" w:rsidR="00B0479E" w:rsidRDefault="00F037E5" w:rsidP="00DD3144">
            <w:pPr>
              <w:rPr>
                <w:rFonts w:ascii="Calibri" w:hAnsi="Calibri" w:cs="Calibri"/>
              </w:rPr>
            </w:pPr>
            <w:r>
              <w:rPr>
                <w:rFonts w:ascii="Calibri" w:hAnsi="Calibri" w:cs="Calibri"/>
              </w:rPr>
              <w:t>X</w:t>
            </w: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288FFD6B"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6872CD52" w14:textId="77777777" w:rsidR="00B0479E" w:rsidRDefault="00F037E5" w:rsidP="00DD3144">
            <w:pPr>
              <w:rPr>
                <w:rFonts w:ascii="Calibri" w:hAnsi="Calibri" w:cs="Calibri"/>
              </w:rPr>
            </w:pPr>
            <w:r>
              <w:rPr>
                <w:rFonts w:ascii="Calibri" w:hAnsi="Calibri" w:cs="Calibri"/>
              </w:rPr>
              <w:t>Article 2, Second, Point 4</w:t>
            </w:r>
          </w:p>
          <w:p w14:paraId="0CEFDD63" w14:textId="3629E27C" w:rsidR="00F037E5" w:rsidRDefault="00F037E5" w:rsidP="00DD3144">
            <w:pPr>
              <w:rPr>
                <w:rFonts w:ascii="Calibri" w:hAnsi="Calibri" w:cs="Calibri"/>
              </w:rPr>
            </w:pPr>
            <w:r>
              <w:rPr>
                <w:rFonts w:ascii="Calibri" w:hAnsi="Calibri" w:cs="Calibri"/>
              </w:rPr>
              <w:t>Article 3, point 9 and 10</w:t>
            </w:r>
          </w:p>
          <w:p w14:paraId="39D4D3D6" w14:textId="778E48E9" w:rsidR="00F037E5" w:rsidRDefault="00F037E5" w:rsidP="00DD3144">
            <w:pPr>
              <w:rPr>
                <w:rFonts w:ascii="Calibri" w:hAnsi="Calibri" w:cs="Calibri"/>
              </w:rPr>
            </w:pPr>
            <w:r w:rsidRPr="00F037E5">
              <w:rPr>
                <w:rFonts w:ascii="Calibri" w:hAnsi="Calibri" w:cs="Calibri"/>
              </w:rPr>
              <w:t>The regulation does not strictly require third-party verification of the GHG emissions inventory, but it does require that verification of compliance with green/sustainability criteria (which may include GHG data) be performed either by the Board of Directors or by a qualified, independent third party. Third-party verification is therefore recommended and permitted, but not strictly mandatory if the Board provides the required declaration.</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3855E2E" w:rsidR="00B0479E" w:rsidRDefault="008B56D5"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1E7AE71A" w:rsidR="00B0479E" w:rsidRDefault="008B56D5"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66EB6DB6" w:rsidR="00B0479E" w:rsidRDefault="00C156EC"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6ED9E68D" w14:textId="77777777" w:rsidR="00B0479E" w:rsidRDefault="00F6037A" w:rsidP="00DD3144">
            <w:r>
              <w:t xml:space="preserve">The regulation recognised "carbon removal projects" as eligible for financing with green bonds or sukuk (Article 2, First, point 5). </w:t>
            </w:r>
          </w:p>
          <w:p w14:paraId="44400DCF" w14:textId="77777777" w:rsidR="00F6037A" w:rsidRDefault="00F6037A" w:rsidP="00F6037A"/>
          <w:p w14:paraId="123B1D0D" w14:textId="406A2CA8" w:rsidR="00F6037A" w:rsidRDefault="00F6037A" w:rsidP="00F6037A">
            <w:r>
              <w:t>All projects financed by green or sustainability-linked bonds or sukuk—including carbon removal projects—must be described, tracked, and reported on as part of the issuer’s obligations. This includes:</w:t>
            </w:r>
          </w:p>
          <w:p w14:paraId="33EBE88E" w14:textId="2F62398D" w:rsidR="00F6037A" w:rsidRDefault="00F6037A" w:rsidP="00F6037A">
            <w:r>
              <w:t>Disclosing the type and description of projects,</w:t>
            </w:r>
          </w:p>
          <w:p w14:paraId="7C45545E" w14:textId="77777777" w:rsidR="00F6037A" w:rsidRDefault="00F6037A" w:rsidP="00F6037A">
            <w:r>
              <w:t>Reporting on their expected and actual environmental impact,</w:t>
            </w:r>
          </w:p>
          <w:p w14:paraId="7F3537C5" w14:textId="6646AD10" w:rsidR="00F6037A" w:rsidRDefault="00F6037A" w:rsidP="00F6037A">
            <w:r>
              <w:t>Subjecting the overall framework to verification (either by the Board or a neutral third party in accordance with ICMA principles).</w:t>
            </w:r>
          </w:p>
          <w:p w14:paraId="73A709EF" w14:textId="6C588ABA" w:rsidR="00F6037A" w:rsidRDefault="00F6037A" w:rsidP="00F6037A">
            <w:r>
              <w:t>However, these requirements apply to the project as a whole, not specifically to the use or quality of offsets/removals.</w:t>
            </w:r>
            <w:r w:rsidR="0083423D">
              <w:t xml:space="preserve"> (Article 3, second and Article 5)</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1303B3B5" w:rsidR="00B0479E" w:rsidRDefault="0083423D"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1011E1F3" w:rsidR="00B0479E" w:rsidRDefault="0083423D"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915EDCA" w:rsidR="00B0479E" w:rsidRDefault="0083423D"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79500EEF" w:rsidR="00B0479E" w:rsidRDefault="0083423D"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0F59DBA4" w:rsidR="00B0479E" w:rsidRDefault="0083423D"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054BDCF4" w:rsidR="00B0479E" w:rsidRDefault="0083423D"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4A681CDC" w:rsidR="00B0479E" w:rsidRDefault="0083423D" w:rsidP="00DD3144">
            <w: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172801CF" w:rsidR="00B0479E" w:rsidRDefault="0083423D" w:rsidP="00DD3144">
            <w:r>
              <w:t>X</w:t>
            </w:r>
          </w:p>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4DA2C86" w:rsidR="00B0479E" w:rsidRDefault="0083423D" w:rsidP="00DD3144">
            <w:r>
              <w:t>X</w:t>
            </w:r>
          </w:p>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51BDD065" w:rsidR="00B0479E" w:rsidRDefault="00C96DAA"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C858C7E" w:rsidR="00B0479E" w:rsidRDefault="00C96DAA"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7A229111" w:rsidR="00B0479E" w:rsidRDefault="00EE532C"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62693BA8"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4CA75F42" w:rsidR="00B0479E" w:rsidRDefault="00F63E24" w:rsidP="00DD3144">
            <w:r>
              <w:t xml:space="preserve">The regulation </w:t>
            </w:r>
            <w:r w:rsidRPr="00F63E24">
              <w:t>does not recommend or require any particular year by which the target should be met; the deadline is to be set by the issuer</w:t>
            </w:r>
            <w:r w:rsidR="00EE532C">
              <w:t xml:space="preserve"> (Article 5, second, point 4)</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F72460B" w:rsidR="00B0479E" w:rsidRDefault="00AB1972"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1730ACB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771750CA" w:rsidR="00B0479E" w:rsidRDefault="00C1335B"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4365AB92" w:rsidR="00B0479E" w:rsidRDefault="00C1335B" w:rsidP="00DD3144">
            <w:r>
              <w:t>X</w:t>
            </w:r>
          </w:p>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5B678617" w:rsidR="00B0479E" w:rsidRDefault="00111EEB"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7A938AAF" w:rsidR="00B0479E" w:rsidRDefault="00E035DF"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64F6212D" w:rsidR="00B0479E" w:rsidRDefault="00E035DF"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4A0617B" w:rsidR="00B0479E" w:rsidRDefault="00E035DF" w:rsidP="00DD3144">
            <w:r w:rsidRPr="00E035DF">
              <w:t>The regulation requires that, for sustainability-linked bonds and sukuk, issuers set and disclose “sustainability objectives” and key performance indicators (KPIs) that are material, measurable, and relevant to the issuer’s business. However, the specific type of target is left to the issuer’s discretion</w:t>
            </w:r>
            <w:r>
              <w:t>.</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4919D085" w:rsidR="00484663" w:rsidRDefault="00764113"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7E6159F3" w:rsidR="00484663" w:rsidRDefault="00764113"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4B9A359" w:rsidR="00484663" w:rsidRDefault="00764113"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C3894EE" w:rsidR="00484663" w:rsidRDefault="00764113"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264F5A77" w:rsidR="00484663" w:rsidRDefault="00764113" w:rsidP="00DD3144">
            <w:r>
              <w:t>The regulations do not target specific entities.</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7F4095B0" w14:textId="277527CE" w:rsidR="004947D5" w:rsidRDefault="00764113" w:rsidP="00866DF9">
            <w:r>
              <w:t xml:space="preserve">Disclosure </w:t>
            </w:r>
            <w:r w:rsidR="004947D5">
              <w:t>of use of proceeds and project limitation is</w:t>
            </w:r>
            <w:r>
              <w:t xml:space="preserve"> required for all green and sustainability-linked bonds and </w:t>
            </w:r>
            <w:r w:rsidR="004947D5">
              <w:t>sukuk to disclose</w:t>
            </w:r>
            <w:r w:rsidR="00866DF9">
              <w:t xml:space="preserve"> (</w:t>
            </w:r>
            <w:r w:rsidR="00866DF9" w:rsidRPr="00866DF9">
              <w:t>Article 3 (Second: points 2–6)</w:t>
            </w:r>
          </w:p>
          <w:p w14:paraId="137096B0" w14:textId="77777777" w:rsidR="00866DF9" w:rsidRDefault="00866DF9" w:rsidP="00866DF9"/>
          <w:p w14:paraId="760BAF1D" w14:textId="7CB73D8C" w:rsidR="00866DF9" w:rsidRDefault="004947D5" w:rsidP="00866DF9">
            <w:r>
              <w:t xml:space="preserve">Disclosure of </w:t>
            </w:r>
            <w:r w:rsidR="00866DF9">
              <w:t xml:space="preserve">the projects finances </w:t>
            </w:r>
            <w:r w:rsidR="00E81F3E">
              <w:t>and their expected impact</w:t>
            </w:r>
            <w:r>
              <w:t xml:space="preserve"> for all green and sustainability-linked bonds and sukuk to disclose</w:t>
            </w:r>
            <w:r w:rsidR="00866DF9">
              <w:t xml:space="preserve"> (</w:t>
            </w:r>
            <w:r w:rsidR="00866DF9" w:rsidRPr="00866DF9">
              <w:t xml:space="preserve">Article </w:t>
            </w:r>
            <w:r w:rsidR="00866DF9">
              <w:t>2</w:t>
            </w:r>
            <w:r w:rsidR="00866DF9" w:rsidRPr="00866DF9">
              <w:t xml:space="preserve"> (Fourth: point 2)</w:t>
            </w:r>
          </w:p>
          <w:p w14:paraId="4FD05748" w14:textId="77777777" w:rsidR="00866DF9" w:rsidRDefault="00866DF9" w:rsidP="00866DF9"/>
          <w:p w14:paraId="2265580C" w14:textId="5AF4A285" w:rsidR="004947D5" w:rsidRDefault="004947D5" w:rsidP="00866DF9">
            <w:r>
              <w:t>Disclosure of progress against sustainability objectives and KPIs is required for all green and sustainability-linked bonds and sukuk to disclose (</w:t>
            </w:r>
            <w:r w:rsidRPr="004947D5">
              <w:t>Article 5 (Fourth: points 1, 2)</w:t>
            </w:r>
          </w:p>
          <w:p w14:paraId="11DB2798" w14:textId="77777777" w:rsidR="00E81F3E" w:rsidRDefault="00E81F3E" w:rsidP="004947D5"/>
          <w:p w14:paraId="2D2B54FE" w14:textId="00A662C9" w:rsidR="004947D5" w:rsidRDefault="004947D5" w:rsidP="004A7ED4">
            <w:r>
              <w:t>Disclosure of verification is required for all green and sustainability-linked bonds and sukuk to disclose (</w:t>
            </w:r>
            <w:r w:rsidRPr="004947D5">
              <w:t>Article 2 (Second: point 4)</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1B9EF3A" w:rsidR="00DA416F" w:rsidRPr="00DD3144" w:rsidRDefault="000E7C9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51B72F7" w:rsidR="00DA416F" w:rsidRPr="00DD3144" w:rsidRDefault="000E7C9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91640F9" w:rsidR="00DA416F" w:rsidRPr="00DD3144" w:rsidRDefault="000E7C9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5C78917" w:rsidR="00DA416F" w:rsidRPr="00DD3144" w:rsidRDefault="000E7C9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2E32247" w:rsidR="00DA416F" w:rsidRPr="00DD3144" w:rsidRDefault="000E7C9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EA6DF59" w:rsidR="00DA416F" w:rsidRPr="00DD3144" w:rsidRDefault="000E7C9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2D34633" w:rsidR="00DA416F" w:rsidRPr="00DD3144" w:rsidRDefault="000E7C9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0A2858A5" w:rsidR="00DA416F" w:rsidRPr="00DD3144" w:rsidRDefault="004A7ED4"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E390FCF" w:rsidR="00DA416F" w:rsidRPr="00DD3144" w:rsidRDefault="000E7C9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E2046A6" w:rsidR="00DA416F" w:rsidRPr="00DD3144" w:rsidRDefault="000E7C9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7432EF7" w:rsidR="00DA416F" w:rsidRPr="00DD3144" w:rsidRDefault="000E7C9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76D7959" w:rsidR="00DA416F" w:rsidRPr="00DD3144" w:rsidRDefault="000E7C9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DD506FA" w:rsidR="00DA416F" w:rsidRPr="00DD3144" w:rsidRDefault="000E7C9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0796EC6" w:rsidR="00DA416F" w:rsidRPr="00DD3144" w:rsidRDefault="000E7C97"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3AA09620" w14:textId="77777777" w:rsidR="004B1F6B" w:rsidRDefault="009A03FF" w:rsidP="009A03FF">
            <w:pPr>
              <w:rPr>
                <w:rFonts w:ascii="Calibri" w:hAnsi="Calibri" w:cs="Calibri"/>
              </w:rPr>
            </w:pPr>
            <w:r w:rsidRPr="009A03FF">
              <w:rPr>
                <w:rFonts w:ascii="Calibri" w:hAnsi="Calibri" w:cs="Calibri"/>
              </w:rPr>
              <w:t>International Sustainability Standards Board (ISSB)</w:t>
            </w:r>
            <w:r>
              <w:rPr>
                <w:rFonts w:ascii="Calibri" w:hAnsi="Calibri" w:cs="Calibri"/>
              </w:rPr>
              <w:t xml:space="preserve">: </w:t>
            </w:r>
            <w:r w:rsidRPr="009A03FF">
              <w:rPr>
                <w:rFonts w:ascii="Calibri" w:hAnsi="Calibri" w:cs="Calibri"/>
              </w:rPr>
              <w:t>A board that sets standards for</w:t>
            </w:r>
            <w:r w:rsidR="000340D2">
              <w:rPr>
                <w:rFonts w:ascii="Calibri" w:hAnsi="Calibri" w:cs="Calibri"/>
              </w:rPr>
              <w:t xml:space="preserve"> </w:t>
            </w:r>
            <w:r w:rsidRPr="009A03FF">
              <w:rPr>
                <w:rFonts w:ascii="Calibri" w:hAnsi="Calibri" w:cs="Calibri"/>
              </w:rPr>
              <w:t>disclosure related to sustainability in the areas of climate, environment, social aspects and</w:t>
            </w:r>
            <w:r w:rsidR="000340D2">
              <w:rPr>
                <w:rFonts w:ascii="Calibri" w:hAnsi="Calibri" w:cs="Calibri"/>
              </w:rPr>
              <w:t xml:space="preserve"> </w:t>
            </w:r>
            <w:r w:rsidRPr="009A03FF">
              <w:rPr>
                <w:rFonts w:ascii="Calibri" w:hAnsi="Calibri" w:cs="Calibri"/>
              </w:rPr>
              <w:t>governance.</w:t>
            </w:r>
          </w:p>
          <w:p w14:paraId="118B6A61" w14:textId="77777777" w:rsidR="000340D2" w:rsidRDefault="000340D2" w:rsidP="009A03FF">
            <w:pPr>
              <w:rPr>
                <w:rFonts w:ascii="Calibri" w:hAnsi="Calibri" w:cs="Calibri"/>
              </w:rPr>
            </w:pPr>
          </w:p>
          <w:p w14:paraId="799C1AA4" w14:textId="6255CCD3" w:rsidR="000340D2" w:rsidRPr="00DD3144" w:rsidRDefault="000340D2" w:rsidP="009A03FF">
            <w:pPr>
              <w:rPr>
                <w:rFonts w:ascii="Calibri" w:hAnsi="Calibri" w:cs="Calibri"/>
              </w:rPr>
            </w:pPr>
            <w:r>
              <w:rPr>
                <w:rFonts w:ascii="Calibri" w:hAnsi="Calibri" w:cs="Calibri"/>
              </w:rPr>
              <w:t>The issuer or the obligor is obligated to fulfil the principles of the International Capital Market Association (ICMA)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912F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912F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912F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912F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912F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206B36" w14:textId="77777777" w:rsidR="007C55FE" w:rsidRDefault="007C55FE" w:rsidP="00874E39">
      <w:r>
        <w:separator/>
      </w:r>
    </w:p>
  </w:endnote>
  <w:endnote w:type="continuationSeparator" w:id="0">
    <w:p w14:paraId="3A639EAA" w14:textId="77777777" w:rsidR="007C55FE" w:rsidRDefault="007C55FE" w:rsidP="00874E39">
      <w:r>
        <w:continuationSeparator/>
      </w:r>
    </w:p>
  </w:endnote>
  <w:endnote w:type="continuationNotice" w:id="1">
    <w:p w14:paraId="6FA923F5" w14:textId="77777777" w:rsidR="007C55FE" w:rsidRDefault="007C55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2D6893" w14:textId="77777777" w:rsidR="007C55FE" w:rsidRDefault="007C55FE" w:rsidP="00874E39">
      <w:r>
        <w:separator/>
      </w:r>
    </w:p>
  </w:footnote>
  <w:footnote w:type="continuationSeparator" w:id="0">
    <w:p w14:paraId="707CA25B" w14:textId="77777777" w:rsidR="007C55FE" w:rsidRDefault="007C55FE" w:rsidP="00874E39">
      <w:r>
        <w:continuationSeparator/>
      </w:r>
    </w:p>
  </w:footnote>
  <w:footnote w:type="continuationNotice" w:id="1">
    <w:p w14:paraId="1B2C07EF" w14:textId="77777777" w:rsidR="007C55FE" w:rsidRDefault="007C55F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0D2"/>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A42"/>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E7C9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EEB"/>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47E"/>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3A2A"/>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2FE"/>
    <w:rsid w:val="0049168C"/>
    <w:rsid w:val="00493986"/>
    <w:rsid w:val="00493E0A"/>
    <w:rsid w:val="004947D5"/>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A7ED4"/>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D4"/>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113"/>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2C4D"/>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55FE"/>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8C2"/>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23D"/>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55D1"/>
    <w:rsid w:val="00866DF9"/>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6D5"/>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06F"/>
    <w:rsid w:val="00926863"/>
    <w:rsid w:val="00926D7F"/>
    <w:rsid w:val="009272DE"/>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3FF"/>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A4D"/>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0594"/>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972"/>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35B"/>
    <w:rsid w:val="00C13FBE"/>
    <w:rsid w:val="00C141CA"/>
    <w:rsid w:val="00C149A3"/>
    <w:rsid w:val="00C156EC"/>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6DAA"/>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D6A"/>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DF7F61"/>
    <w:rsid w:val="00E020A8"/>
    <w:rsid w:val="00E02101"/>
    <w:rsid w:val="00E03122"/>
    <w:rsid w:val="00E035DF"/>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7D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256"/>
    <w:rsid w:val="00E81727"/>
    <w:rsid w:val="00E81F3E"/>
    <w:rsid w:val="00E8221C"/>
    <w:rsid w:val="00E83D9D"/>
    <w:rsid w:val="00E83E48"/>
    <w:rsid w:val="00E85E70"/>
    <w:rsid w:val="00E86E3F"/>
    <w:rsid w:val="00E87F57"/>
    <w:rsid w:val="00E911ED"/>
    <w:rsid w:val="00E91BCF"/>
    <w:rsid w:val="00E9266B"/>
    <w:rsid w:val="00E929F9"/>
    <w:rsid w:val="00E93807"/>
    <w:rsid w:val="00E9469D"/>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32C"/>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7E5"/>
    <w:rsid w:val="00F03D4C"/>
    <w:rsid w:val="00F04743"/>
    <w:rsid w:val="00F07460"/>
    <w:rsid w:val="00F10A6E"/>
    <w:rsid w:val="00F11111"/>
    <w:rsid w:val="00F1189D"/>
    <w:rsid w:val="00F11A81"/>
    <w:rsid w:val="00F11A8A"/>
    <w:rsid w:val="00F131D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37A"/>
    <w:rsid w:val="00F60B38"/>
    <w:rsid w:val="00F6108E"/>
    <w:rsid w:val="00F61CB7"/>
    <w:rsid w:val="00F6292A"/>
    <w:rsid w:val="00F62C69"/>
    <w:rsid w:val="00F63214"/>
    <w:rsid w:val="00F632FB"/>
    <w:rsid w:val="00F63E24"/>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AEE"/>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ca.gov.ae/en/regulations/regulations-listing.asp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1192</TotalTime>
  <Pages>112</Pages>
  <Words>21513</Words>
  <Characters>128652</Characters>
  <Application>Microsoft Office Word</Application>
  <DocSecurity>0</DocSecurity>
  <Lines>8040</Lines>
  <Paragraphs>4692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4</cp:revision>
  <cp:lastPrinted>2025-03-21T00:14:00Z</cp:lastPrinted>
  <dcterms:created xsi:type="dcterms:W3CDTF">2025-07-07T01:14:00Z</dcterms:created>
  <dcterms:modified xsi:type="dcterms:W3CDTF">2025-08-07T13:13:00Z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